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563d5ofrgb9d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PIANO DI MANUTENZIONE ORDINARIA E STRAORDINARIA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In</w:t>
      </w:r>
      <w:bookmarkStart w:colFirst="0" w:colLast="0" w:name="bookmark=id.yt8b0gsz6l62" w:id="1"/>
      <w:bookmarkEnd w:id="1"/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tervento: Rifacimento Spogliatoi – Palazzetto dello Sport “Palaverde”</w:t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Proponente:</w:t>
      </w:r>
      <w:r w:rsidDel="00000000" w:rsidR="00000000" w:rsidRPr="00000000">
        <w:rPr>
          <w:sz w:val="28"/>
          <w:szCs w:val="28"/>
          <w:rtl w:val="0"/>
        </w:rPr>
        <w:t xml:space="preserve"> ASD Dinamica Pensare Sport</w:t>
      </w:r>
    </w:p>
    <w:bookmarkStart w:colFirst="0" w:colLast="0" w:name="bookmark=id.hlxlgz9s9ka3" w:id="2"/>
    <w:bookmarkEnd w:id="2"/>
    <w:p w:rsidR="00000000" w:rsidDel="00000000" w:rsidP="00000000" w:rsidRDefault="00000000" w:rsidRPr="00000000" w14:paraId="00000005">
      <w:pPr>
        <w:pStyle w:val="Heading2"/>
        <w:spacing w:after="0" w:before="0" w:line="276" w:lineRule="auto"/>
        <w:rPr>
          <w:sz w:val="28"/>
          <w:szCs w:val="28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Riferimenti</w:t>
      </w:r>
      <w:r w:rsidDel="00000000" w:rsidR="00000000" w:rsidRPr="00000000">
        <w:rPr>
          <w:sz w:val="28"/>
          <w:szCs w:val="28"/>
          <w:rtl w:val="0"/>
        </w:rPr>
        <w:t xml:space="preserve">: </w:t>
      </w:r>
      <w:r w:rsidDel="00000000" w:rsidR="00000000" w:rsidRPr="00000000">
        <w:rPr>
          <w:rFonts w:ascii="Aptos" w:cs="Aptos" w:eastAsia="Aptos" w:hAnsi="Aptos"/>
          <w:color w:val="000000"/>
          <w:sz w:val="28"/>
          <w:szCs w:val="28"/>
          <w:rtl w:val="0"/>
        </w:rPr>
        <w:t xml:space="preserve">D.Lgs. 36/2023 – Allegato I.7; Linee guida UNI 11082; Normativa igienico-sanitaria regionale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mrbvquu21xn" w:id="3"/>
    <w:bookmarkEnd w:id="3"/>
    <w:p w:rsidR="00000000" w:rsidDel="00000000" w:rsidP="00000000" w:rsidRDefault="00000000" w:rsidRPr="00000000" w14:paraId="00000007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1. PREMESSA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presente Piano di Manutenzione viene redatto ai sensi del D.Lgs. 36/2023 e dell’Allegato I.7 e costituisce parte integrante della documentazione relativa all’intervento di riqualificazione dei quattro spogliatoi del Palaverde.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documento definisce: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attività di manutenzione ordinaria e straordinaria;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frequenza degli interventi;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responsabilità gestionali del concessionario;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obiettivi di conservazione, efficienza e sicurezza degli ambienti.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Sono oggetto del presente Piano</w:t>
      </w:r>
      <w:r w:rsidDel="00000000" w:rsidR="00000000" w:rsidRPr="00000000">
        <w:rPr>
          <w:rtl w:val="0"/>
        </w:rPr>
        <w:t xml:space="preserve"> lo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Spogliatoio Grande Uomini</w:t>
      </w:r>
      <w:r w:rsidDel="00000000" w:rsidR="00000000" w:rsidRPr="00000000">
        <w:rPr>
          <w:rtl w:val="0"/>
        </w:rPr>
        <w:t xml:space="preserve">, lo S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pogliatoio Grande Donne</w:t>
      </w:r>
      <w:r w:rsidDel="00000000" w:rsidR="00000000" w:rsidRPr="00000000">
        <w:rPr>
          <w:rtl w:val="0"/>
        </w:rPr>
        <w:t xml:space="preserve">, lo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Spogliatoio Body Building Uomini (piccolo)</w:t>
      </w:r>
      <w:r w:rsidDel="00000000" w:rsidR="00000000" w:rsidRPr="00000000">
        <w:rPr>
          <w:rtl w:val="0"/>
        </w:rPr>
        <w:t xml:space="preserve"> e lo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Spogliatoio Body Building Donne (piccolo).</w:t>
      </w:r>
    </w:p>
    <w:p w:rsidR="00000000" w:rsidDel="00000000" w:rsidP="00000000" w:rsidRDefault="00000000" w:rsidRPr="00000000" w14:paraId="0000000F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dovhxqq475qu" w:id="4"/>
    <w:bookmarkEnd w:id="4"/>
    <w:p w:rsidR="00000000" w:rsidDel="00000000" w:rsidP="00000000" w:rsidRDefault="00000000" w:rsidRPr="00000000" w14:paraId="00000010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2. OBIETTIVI DELLA MANUTENZIONE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ff2cc" w:val="clear"/>
          <w:vertAlign w:val="baseline"/>
        </w:rPr>
      </w:pPr>
      <w:r w:rsidDel="00000000" w:rsidR="00000000" w:rsidRPr="00000000">
        <w:rPr>
          <w:rtl w:val="0"/>
        </w:rPr>
        <w:t xml:space="preserve">Il Piano di Manutenzione ha l’obiettivo di assicurare nel tempo la piena funzionalità degli spogliatoi, mantenendo condizioni igienico-sanitarie ottimali e garantendo la sicurezza degli utenti. Attraverso una programmazione adeguata degli interventi, il piano mira inoltre a prevenire guasti e fenomeni di deterioramento, contribuendo così a preservare il valore dell’investimento effettuato.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tbb7rvami5wq" w:id="5"/>
    <w:bookmarkEnd w:id="5"/>
    <w:p w:rsidR="00000000" w:rsidDel="00000000" w:rsidP="00000000" w:rsidRDefault="00000000" w:rsidRPr="00000000" w14:paraId="00000013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3. COMPONENTI OGGETTO DI MANUTENZIONE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attività di manutenzione riguardano le seguenti categorie di elementi:</w:t>
      </w:r>
    </w:p>
    <w:bookmarkStart w:colFirst="0" w:colLast="0" w:name="bookmark=id.v9wsd3264o92" w:id="6"/>
    <w:bookmarkEnd w:id="6"/>
    <w:p w:rsidR="00000000" w:rsidDel="00000000" w:rsidP="00000000" w:rsidRDefault="00000000" w:rsidRPr="00000000" w14:paraId="00000015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3.1 Opere Edili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pavimentazioni antiscivolo;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rivestimenti ceramici;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pareti e tinteggiature;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porte interne e serramenti;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arredi fissi (panche, ganci, armadietti).</w:t>
      </w:r>
    </w:p>
    <w:bookmarkStart w:colFirst="0" w:colLast="0" w:name="bookmark=id.3awzsu202t6r" w:id="7"/>
    <w:bookmarkEnd w:id="7"/>
    <w:p w:rsidR="00000000" w:rsidDel="00000000" w:rsidP="00000000" w:rsidRDefault="00000000" w:rsidRPr="00000000" w14:paraId="0000001B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3.2 Impianto Idrico-Sanitario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tubazioni acqua calda e fredda;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miscelatori e rubinetterie;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docce e piatti doccia;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vasi WC, lavabi, sifoni;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reti di scarico.</w:t>
      </w:r>
    </w:p>
    <w:p w:rsidR="00000000" w:rsidDel="00000000" w:rsidP="00000000" w:rsidRDefault="00000000" w:rsidRPr="00000000" w14:paraId="00000021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vobbx3wswuwf" w:id="8"/>
    <w:bookmarkEnd w:id="8"/>
    <w:p w:rsidR="00000000" w:rsidDel="00000000" w:rsidP="00000000" w:rsidRDefault="00000000" w:rsidRPr="00000000" w14:paraId="00000022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4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 MANUTENZIONE ORDINARIA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manutenzione ordinaria comprende tutte le attività ricorrenti effettuate per mantenere gli spazi in condizioni idonee all’uso quotidiano.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bookmarkStart w:colFirst="0" w:colLast="0" w:name="bookmark=id.km171fnpdbot" w:id="9"/>
    <w:bookmarkEnd w:id="9"/>
    <w:p w:rsidR="00000000" w:rsidDel="00000000" w:rsidP="00000000" w:rsidRDefault="00000000" w:rsidRPr="00000000" w14:paraId="00000025">
      <w:pPr>
        <w:pStyle w:val="Heading2"/>
        <w:spacing w:after="0" w:before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4.1 Attività e Frequenza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72.0" w:type="dxa"/>
        <w:jc w:val="left"/>
        <w:tblLayout w:type="fixed"/>
        <w:tblLook w:val="0020"/>
      </w:tblPr>
      <w:tblGrid>
        <w:gridCol w:w="2189"/>
        <w:gridCol w:w="5108"/>
        <w:gridCol w:w="2675"/>
        <w:tblGridChange w:id="0">
          <w:tblGrid>
            <w:gridCol w:w="2189"/>
            <w:gridCol w:w="5108"/>
            <w:gridCol w:w="2675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Elemento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Attività Ordinaria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Frequenza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Pavimenti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Pulizia antibatterica, verifica fughe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Giornaliera / Settimanale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Rivestimenti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Lavaggio superfici, ispezione danni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Settimanale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Docce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Pulizia anticalcare, controllo funzionamento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Settimanale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Rubinetterie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 perdite e serraggi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Mensile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WC e lavabi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Pulizia, verifica scarichi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Giornaliera / Settimanale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75zy5g6nvyu0" w:id="10"/>
    <w:bookmarkEnd w:id="10"/>
    <w:p w:rsidR="00000000" w:rsidDel="00000000" w:rsidP="00000000" w:rsidRDefault="00000000" w:rsidRPr="00000000" w14:paraId="00000048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5. MANUTENZIONE STRAORDINARIA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manutenzione straordinaria riguarda interventi non ricorrenti finalizzati a ripristinare o migliorare funzionalità e sicurezza.</w:t>
      </w:r>
    </w:p>
    <w:bookmarkStart w:colFirst="0" w:colLast="0" w:name="bookmark=id.b3k3vt7cc0ce" w:id="11"/>
    <w:bookmarkEnd w:id="11"/>
    <w:p w:rsidR="00000000" w:rsidDel="00000000" w:rsidP="00000000" w:rsidRDefault="00000000" w:rsidRPr="00000000" w14:paraId="0000004A">
      <w:pPr>
        <w:pStyle w:val="Heading2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5.1 Tipologie di Interventi Straordinari</w:t>
      </w:r>
    </w:p>
    <w:bookmarkStart w:colFirst="0" w:colLast="0" w:name="bookmark=id.oo86eckf58d0" w:id="12"/>
    <w:bookmarkEnd w:id="12"/>
    <w:p w:rsidR="00000000" w:rsidDel="00000000" w:rsidP="00000000" w:rsidRDefault="00000000" w:rsidRPr="00000000" w14:paraId="0000004B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Pavimentazioni e Rivestimenti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sostituzione piastrelle danneggiate;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di porzioni deteriorate.</w:t>
      </w:r>
    </w:p>
    <w:bookmarkStart w:colFirst="0" w:colLast="0" w:name="bookmark=id.qu2pz4hg02cu" w:id="13"/>
    <w:bookmarkEnd w:id="13"/>
    <w:p w:rsidR="00000000" w:rsidDel="00000000" w:rsidP="00000000" w:rsidRDefault="00000000" w:rsidRPr="00000000" w14:paraId="0000004E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Impianto Idrico-Sanitario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sostituzione miscelatori e rubinetterie usurate (ogni </w:t>
      </w: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</w:t>
      </w:r>
      <w:r w:rsidDel="00000000" w:rsidR="00000000" w:rsidRPr="00000000">
        <w:rPr>
          <w:rtl w:val="0"/>
        </w:rPr>
        <w:t xml:space="preserve">15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anni);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revisione reti di scarico (ogni </w:t>
      </w:r>
      <w:r w:rsidDel="00000000" w:rsidR="00000000" w:rsidRPr="00000000">
        <w:rPr>
          <w:rtl w:val="0"/>
        </w:rPr>
        <w:t xml:space="preserve">10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–1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anni);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revisione raccordi e collettori.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4d1zq855h1mt" w:id="14"/>
    <w:bookmarkEnd w:id="14"/>
    <w:p w:rsidR="00000000" w:rsidDel="00000000" w:rsidP="00000000" w:rsidRDefault="00000000" w:rsidRPr="00000000" w14:paraId="00000054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6. CICLO DI VITA DEI COMPONENTI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75.0" w:type="dxa"/>
        <w:jc w:val="left"/>
        <w:tblLayout w:type="fixed"/>
        <w:tblLook w:val="0020"/>
      </w:tblPr>
      <w:tblGrid>
        <w:gridCol w:w="3180"/>
        <w:gridCol w:w="2535"/>
        <w:gridCol w:w="4260"/>
        <w:tblGridChange w:id="0">
          <w:tblGrid>
            <w:gridCol w:w="3180"/>
            <w:gridCol w:w="2535"/>
            <w:gridCol w:w="4260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Componente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Media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Pavimenti antiscivolo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10–15 anni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compatibile con concessione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Rivestimenti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12–18 anni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Materiali CAM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Impianto idrico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10–15 anni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Usura fisiologica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Docce e rubinetterie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–1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anni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Componenti sostituibili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ciclo di vita dei materiali risulta coerente con la durata della concessione di 15 anni, garantendo che l’investimento sia ammortizzabile senza generare criticità gestionali.</w:t>
      </w:r>
    </w:p>
    <w:p w:rsidR="00000000" w:rsidDel="00000000" w:rsidP="00000000" w:rsidRDefault="00000000" w:rsidRPr="00000000" w14:paraId="0000006F">
      <w:pPr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3irrrh4duipp" w:id="15"/>
    <w:bookmarkEnd w:id="15"/>
    <w:p w:rsidR="00000000" w:rsidDel="00000000" w:rsidP="00000000" w:rsidRDefault="00000000" w:rsidRPr="00000000" w14:paraId="00000070">
      <w:pPr>
        <w:pStyle w:val="Heading1"/>
        <w:spacing w:after="0" w:before="0" w:line="276" w:lineRule="auto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7. RESPONSABILITÀ DEL GESTORE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L’ASD Dinamica Pensare Sport si impegna 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effettuare tutte le attività di manutenzione ordinaria;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programmare e finanziare la manutenzione straordinaria necessaria all’uso corretto della struttura;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tenere aggiornato il registro di manutenzione;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garantire il rispetto delle norme igienico-sanitarie;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segnalare tempestivamente al Comune eventuali criticità strutturali.</w:t>
      </w:r>
    </w:p>
    <w:p w:rsidR="00000000" w:rsidDel="00000000" w:rsidP="00000000" w:rsidRDefault="00000000" w:rsidRPr="00000000" w14:paraId="0000007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mlgh3vbid2sj" w:id="16"/>
    <w:bookmarkEnd w:id="16"/>
    <w:p w:rsidR="00000000" w:rsidDel="00000000" w:rsidP="00000000" w:rsidRDefault="00000000" w:rsidRPr="00000000" w14:paraId="00000078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8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REGISTRO DI MANUTENZIONE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gestore predisporrà un registro in cui annotare: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dell’intervento;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tipologia;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operatore incaricato;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eventuali anomalie riscontrate;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interventi programmati successivi.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registro sarà disponibile per eventuali controlli del Comune.</w:t>
      </w:r>
    </w:p>
    <w:p w:rsidR="00000000" w:rsidDel="00000000" w:rsidP="00000000" w:rsidRDefault="00000000" w:rsidRPr="00000000" w14:paraId="00000080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hd w:fill="fff2cc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Row">
      <w:tcPr>
        <w:tcBorders>
          <w:bottom w:color="000000" w:space="0" w:sz="0" w:val="nil"/>
        </w:tcBorders>
        <w:vAlign w:val="bottom"/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Row">
      <w:tcPr>
        <w:tcBorders>
          <w:bottom w:color="000000" w:space="0" w:sz="0" w:val="nil"/>
        </w:tcBorders>
        <w:vAlign w:val="bottom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B4Q0HqDD/ZyDehTRyLVEG6rAiA==">CgMxLjAyD2lkLjU2M2Q1b2ZyZ2I5ZDIPaWQueXQ4YjBnc3o2bDYyMg9pZC5obHhsZ3o5czlrYTMyDmlkLm1yYnZxdXUyMXhuMg9pZC5kb3ZoeHFxNDc1cXUyD2lkLnRiYjdydmFtaTV3cTIPaWQudjl3c2QzMjY0bzkyMg9pZC4zYXd6c3UyMDJ0NnIyD2lkLnZvYmJ4M3dzd3V3ZjIPaWQua20xNzFmbnBkYm90Mg9pZC43NXp5NWc2bnZ5dTAyD2lkLmIzazN2dDdjYzBjZTIPaWQub284NmVja2Y1OGQwMg9pZC5xdTJwejRoZzAyY3UyD2lkLjRkMXpxODU1aDFtdDIPaWQuM2lycnJoNGR1aXBwMg9pZC5tbGdoM3ZiaWQyc2o4AHIhMS15N2RHTlh4R0NYeHlrb29PQmlweUt0dW81WWJtXz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2025-12-02T07:16:00Z</dcterms:created>
  <dc:creator>Paola Perani</dc:creator>
</cp:coreProperties>
</file>